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6CE79"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</w:p>
    <w:p w14:paraId="642E1D73"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义乌市阳光采购服务平台</w:t>
      </w:r>
    </w:p>
    <w:p w14:paraId="64BCA34F"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交易服务缴纳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操作手册</w:t>
      </w:r>
    </w:p>
    <w:p w14:paraId="0D9286B9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1CE2A50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94A30D6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46EEB58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F0C32DF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D3B1DFA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0D2318DF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326BB6CD">
      <w:pP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br w:type="page"/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 w14:paraId="645A3AD9">
          <w:pPr>
            <w:pStyle w:val="37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 w14:paraId="17E8F367">
          <w:pPr>
            <w:pStyle w:val="11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HYPERLINK \l _Toc21997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 w:eastAsia="zh-CN"/>
            </w:rPr>
            <w:t>1.</w:t>
          </w:r>
          <w:r>
            <w:rPr>
              <w:rFonts w:hint="eastAsia" w:ascii="思源宋体 CN" w:hAnsi="思源宋体 CN" w:eastAsia="思源宋体 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_Toc21997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思源宋体 CN" w:hAnsi="思源宋体 CN" w:eastAsia="思源宋体 CN"/>
              <w:szCs w:val="21"/>
            </w:rPr>
            <w:fldChar w:fldCharType="end"/>
          </w:r>
        </w:p>
        <w:p w14:paraId="60BBE0B0">
          <w:pPr>
            <w:pStyle w:val="11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_Toc19115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/>
              <w:kern w:val="2"/>
              <w:szCs w:val="18"/>
              <w:highlight w:val="none"/>
              <w:lang w:val="en-US" w:eastAsia="zh-CN" w:bidi="ar-SA"/>
            </w:rPr>
            <w:t>2.招采项目交易服务服务费</w:t>
          </w:r>
          <w:r>
            <w:tab/>
          </w:r>
          <w:r>
            <w:fldChar w:fldCharType="begin"/>
          </w:r>
          <w:r>
            <w:instrText xml:space="preserve"> PAGEREF _Toc19115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0103FDDD">
          <w:pPr>
            <w:pStyle w:val="11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_Toc19903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/>
              <w:kern w:val="2"/>
              <w:szCs w:val="18"/>
              <w:highlight w:val="none"/>
              <w:lang w:val="en-US" w:eastAsia="zh-CN" w:bidi="ar-SA"/>
            </w:rPr>
            <w:t>3.简易采购交易服务费</w:t>
          </w:r>
          <w:r>
            <w:tab/>
          </w:r>
          <w:r>
            <w:fldChar w:fldCharType="begin"/>
          </w:r>
          <w:r>
            <w:instrText xml:space="preserve"> PAGEREF _Toc19903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2E23E26D">
          <w:pPr>
            <w:pStyle w:val="11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_Toc31371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/>
              <w:kern w:val="2"/>
              <w:szCs w:val="18"/>
              <w:highlight w:val="none"/>
              <w:lang w:val="en-US" w:eastAsia="zh-CN" w:bidi="ar-SA"/>
            </w:rPr>
            <w:t>4.框架协议二阶段交易服务费</w:t>
          </w:r>
          <w:r>
            <w:tab/>
          </w:r>
          <w:r>
            <w:fldChar w:fldCharType="begin"/>
          </w:r>
          <w:r>
            <w:instrText xml:space="preserve"> PAGEREF _Toc31371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65DA54DB">
          <w:pPr>
            <w:ind w:firstLine="422"/>
            <w:rPr>
              <w:b/>
              <w:color w:val="000000" w:themeColor="text1"/>
              <w:spacing w:val="200"/>
              <w:sz w:val="32"/>
              <w14:textFill>
                <w14:solidFill>
                  <w14:schemeClr w14:val="tx1"/>
                </w14:solidFill>
              </w14:textFill>
            </w:rPr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797" w:bottom="1440" w:left="1843" w:header="454" w:footer="680" w:gutter="0"/>
              <w:pgNumType w:start="0"/>
              <w:cols w:space="720" w:num="1"/>
              <w:titlePg/>
              <w:docGrid w:type="lines" w:linePitch="312" w:charSpace="0"/>
            </w:sectPr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  <w:bookmarkStart w:id="9" w:name="_GoBack"/>
          <w:bookmarkEnd w:id="9"/>
        </w:p>
      </w:sdtContent>
    </w:sdt>
    <w:p w14:paraId="2F84F8EF">
      <w:pPr>
        <w:pStyle w:val="3"/>
        <w:numPr>
          <w:ilvl w:val="1"/>
          <w:numId w:val="0"/>
        </w:numPr>
        <w:ind w:left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8248"/>
      <w:bookmarkStart w:id="1" w:name="_Toc1197"/>
      <w:bookmarkStart w:id="2" w:name="_Toc59544958"/>
      <w:bookmarkStart w:id="3" w:name="_Toc19742"/>
      <w:bookmarkStart w:id="4" w:name="_Toc13642"/>
      <w:bookmarkStart w:id="5" w:name="_Toc21997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0"/>
      <w:bookmarkEnd w:id="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2"/>
      <w:bookmarkEnd w:id="3"/>
      <w:bookmarkEnd w:id="4"/>
      <w:bookmarkEnd w:id="5"/>
    </w:p>
    <w:p w14:paraId="0579444B">
      <w:pPr>
        <w:numPr>
          <w:ilvl w:val="0"/>
          <w:numId w:val="2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</w:t>
      </w:r>
      <w:r>
        <w:rPr>
          <w:rFonts w:hint="eastAsia" w:ascii="思源宋体 CN" w:hAnsi="思源宋体 CN" w:eastAsia="思源宋体 CN"/>
          <w:lang w:val="en-US" w:eastAsia="zh-CN"/>
        </w:rPr>
        <w:t>义乌市阳光采购服务平台</w:t>
      </w:r>
      <w:r>
        <w:rPr>
          <w:rFonts w:hint="eastAsia" w:ascii="思源宋体 CN" w:hAnsi="思源宋体 CN" w:eastAsia="思源宋体 CN"/>
        </w:rPr>
        <w:t>，</w:t>
      </w:r>
      <w:r>
        <w:rPr>
          <w:rFonts w:hint="eastAsia" w:ascii="思源宋体 CN" w:hAnsi="思源宋体 CN" w:eastAsia="思源宋体 CN"/>
          <w:lang w:val="en-US" w:eastAsia="zh-CN"/>
        </w:rPr>
        <w:t>右侧导航栏点击进入登入页面</w:t>
      </w:r>
      <w:r>
        <w:rPr>
          <w:rFonts w:hint="eastAsia" w:ascii="思源宋体 CN" w:hAnsi="思源宋体 CN" w:eastAsia="思源宋体 CN"/>
          <w:lang w:eastAsia="zh-CN"/>
        </w:rPr>
        <w:t>，</w:t>
      </w:r>
      <w:r>
        <w:rPr>
          <w:rFonts w:hint="eastAsia" w:ascii="思源宋体 CN" w:hAnsi="思源宋体 CN" w:eastAsia="思源宋体 CN"/>
        </w:rPr>
        <w:t>登录方式有</w:t>
      </w:r>
      <w:r>
        <w:rPr>
          <w:rFonts w:hint="eastAsia" w:ascii="思源宋体 CN" w:hAnsi="思源宋体 CN" w:eastAsia="思源宋体 CN"/>
          <w:lang w:val="en-US" w:eastAsia="zh-CN"/>
        </w:rPr>
        <w:t>两种</w:t>
      </w:r>
      <w:r>
        <w:rPr>
          <w:rFonts w:hint="eastAsia" w:ascii="思源宋体 CN" w:hAnsi="思源宋体 CN" w:eastAsia="思源宋体 CN"/>
        </w:rPr>
        <w:t>种：用户登录、CA登录、</w:t>
      </w:r>
      <w:r>
        <w:rPr>
          <w:rFonts w:hint="eastAsia" w:ascii="思源宋体 CN" w:hAnsi="思源宋体 CN" w:eastAsia="思源宋体 CN"/>
          <w:lang w:val="en-US" w:eastAsia="zh-CN"/>
        </w:rPr>
        <w:t>扫码登入</w:t>
      </w:r>
      <w:r>
        <w:rPr>
          <w:rFonts w:hint="eastAsia" w:ascii="思源宋体 CN" w:hAnsi="思源宋体 CN" w:eastAsia="思源宋体 CN"/>
        </w:rPr>
        <w:t>。</w:t>
      </w:r>
    </w:p>
    <w:p w14:paraId="6793F5BA">
      <w:pPr>
        <w:numPr>
          <w:ilvl w:val="0"/>
          <w:numId w:val="0"/>
        </w:numPr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400040" cy="30276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4441"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400040" cy="2592070"/>
            <wp:effectExtent l="0" t="0" r="1016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1884"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2</w:t>
      </w:r>
      <w:r>
        <w:rPr>
          <w:rFonts w:hint="eastAsia" w:ascii="思源宋体 CN" w:hAnsi="思源宋体 CN" w:eastAsia="思源宋体 CN"/>
        </w:rPr>
        <w:t>、登录交易平台，选择主体类型—投标人，进行登陆，这里也可以返回登陆界面。</w:t>
      </w:r>
    </w:p>
    <w:p w14:paraId="3ADADB61"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400040" cy="3063240"/>
            <wp:effectExtent l="0" t="0" r="10160" b="1016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6C16">
      <w:pPr>
        <w:ind w:firstLine="0" w:firstLineChars="0"/>
      </w:pPr>
    </w:p>
    <w:p w14:paraId="47E55967">
      <w:pPr>
        <w:keepNext/>
        <w:keepLines/>
        <w:widowControl w:val="0"/>
        <w:numPr>
          <w:ilvl w:val="0"/>
          <w:numId w:val="0"/>
        </w:numPr>
        <w:adjustRightInd w:val="0"/>
        <w:spacing w:before="120" w:after="120" w:line="360" w:lineRule="auto"/>
        <w:jc w:val="both"/>
        <w:outlineLvl w:val="1"/>
        <w:rPr>
          <w:rFonts w:hint="default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6" w:name="_Toc19115"/>
      <w:r>
        <w:rPr>
          <w:rFonts w:hint="eastAsia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2.招采项目交易服务服务费</w:t>
      </w:r>
      <w:bookmarkEnd w:id="6"/>
    </w:p>
    <w:p w14:paraId="1AAFF037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招采项目投标单位已经中标</w:t>
      </w:r>
    </w:p>
    <w:p w14:paraId="05BD11C3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中标单位缴纳交易服务费</w:t>
      </w:r>
    </w:p>
    <w:p w14:paraId="1E95DE4D">
      <w:pP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336E35F4">
      <w:pPr>
        <w:numPr>
          <w:ilvl w:val="0"/>
          <w:numId w:val="3"/>
        </w:numP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登录系统，点击“我的项目”模块，找到对应项目，进入项目流程</w:t>
      </w:r>
    </w:p>
    <w:p w14:paraId="3D49865E">
      <w:r>
        <w:drawing>
          <wp:inline distT="0" distB="0" distL="114300" distR="114300">
            <wp:extent cx="5400040" cy="2531745"/>
            <wp:effectExtent l="0" t="0" r="10160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09EB">
      <w:pPr>
        <w:numPr>
          <w:ilvl w:val="0"/>
          <w:numId w:val="3"/>
        </w:num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点击交易服务费缴纳，进入交易服务缴纳页面。</w:t>
      </w:r>
    </w:p>
    <w:p w14:paraId="09691B87">
      <w:r>
        <w:drawing>
          <wp:inline distT="0" distB="0" distL="114300" distR="114300">
            <wp:extent cx="5400040" cy="2458720"/>
            <wp:effectExtent l="0" t="0" r="10160" b="50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9D97">
      <w:pPr>
        <w:rPr>
          <w:rFonts w:hint="eastAsia" w:eastAsia="宋体"/>
          <w:lang w:eastAsia="zh-CN"/>
        </w:rPr>
      </w:pPr>
    </w:p>
    <w:p w14:paraId="264F4E68"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3.先完成“开票信息”的信息填写，填写完成后点击“生成子账号”。</w:t>
      </w:r>
    </w:p>
    <w:p w14:paraId="38E6D120">
      <w:r>
        <w:drawing>
          <wp:inline distT="0" distB="0" distL="114300" distR="114300">
            <wp:extent cx="5400040" cy="2945765"/>
            <wp:effectExtent l="0" t="0" r="10160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6B85">
      <w:pPr>
        <w:numPr>
          <w:ilvl w:val="0"/>
          <w:numId w:val="0"/>
        </w:numPr>
        <w:ind w:left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/>
          <w:lang w:val="en-US" w:eastAsia="zh-CN"/>
        </w:rPr>
        <w:t>子账号转账须时：转账信息中的户名、开户行、子账号需准确对应，任一信息不符，转账资金会自动原路退回。</w:t>
      </w:r>
      <w:r>
        <w:drawing>
          <wp:inline distT="0" distB="0" distL="114300" distR="114300">
            <wp:extent cx="5400040" cy="2821305"/>
            <wp:effectExtent l="0" t="0" r="10160" b="1079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BA8F">
      <w:pPr>
        <w:numPr>
          <w:ilvl w:val="0"/>
          <w:numId w:val="0"/>
        </w:numPr>
        <w:ind w:left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/>
          <w:lang w:val="en-US" w:eastAsia="zh-CN"/>
        </w:rPr>
        <w:t>点击到账查询，确认缴费成功即可。注意：付款人账号和诚信库基本户账号不符时，请到基本信息页面更新银行卡号为付款人账号。</w:t>
      </w:r>
      <w:r>
        <w:drawing>
          <wp:inline distT="0" distB="0" distL="114300" distR="114300">
            <wp:extent cx="5400040" cy="2929255"/>
            <wp:effectExtent l="0" t="0" r="1016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2863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561590"/>
            <wp:effectExtent l="0" t="0" r="10160" b="381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81E4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6.查询到账成功后，点击右上角“确认提交”，完成缴费操作</w:t>
      </w:r>
    </w:p>
    <w:p w14:paraId="6228F0E2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842260"/>
            <wp:effectExtent l="0" t="0" r="10160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DB22">
      <w:pPr>
        <w:keepNext/>
        <w:keepLines/>
        <w:widowControl w:val="0"/>
        <w:numPr>
          <w:ilvl w:val="0"/>
          <w:numId w:val="0"/>
        </w:numPr>
        <w:adjustRightInd w:val="0"/>
        <w:spacing w:before="120" w:after="120" w:line="360" w:lineRule="auto"/>
        <w:jc w:val="both"/>
        <w:outlineLvl w:val="1"/>
        <w:rPr>
          <w:rFonts w:hint="default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7" w:name="_Toc19903"/>
      <w:r>
        <w:rPr>
          <w:rFonts w:hint="eastAsia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3.简易采购交易服务费</w:t>
      </w:r>
      <w:bookmarkEnd w:id="7"/>
    </w:p>
    <w:p w14:paraId="0A06D1C5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简易采购项目投标单位已经中标</w:t>
      </w:r>
    </w:p>
    <w:p w14:paraId="1256580A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中标单位缴纳交易服务费</w:t>
      </w:r>
    </w:p>
    <w:p w14:paraId="49447C28">
      <w:pP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30EA4A5F">
      <w:pPr>
        <w:numPr>
          <w:ilvl w:val="0"/>
          <w:numId w:val="0"/>
        </w:numPr>
        <w:ind w:firstLine="420" w:firstLineChars="200"/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1.登录系统，左侧点击“简易采购”模块，找到对应项目，进入项目流程</w:t>
      </w:r>
    </w:p>
    <w:p w14:paraId="1921F4B4">
      <w:r>
        <w:drawing>
          <wp:inline distT="0" distB="0" distL="114300" distR="114300">
            <wp:extent cx="5400040" cy="2379345"/>
            <wp:effectExtent l="0" t="0" r="1016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6A73B">
      <w:pPr>
        <w:numPr>
          <w:ilvl w:val="0"/>
          <w:numId w:val="3"/>
        </w:num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点击交易服务费缴纳，进入交易服务缴纳页面。</w:t>
      </w:r>
    </w:p>
    <w:p w14:paraId="393B77A8">
      <w:r>
        <w:drawing>
          <wp:inline distT="0" distB="0" distL="114300" distR="114300">
            <wp:extent cx="5400040" cy="1951990"/>
            <wp:effectExtent l="0" t="0" r="10160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17241">
      <w:pPr>
        <w:rPr>
          <w:rFonts w:hint="eastAsia" w:eastAsia="宋体"/>
          <w:lang w:eastAsia="zh-CN"/>
        </w:rPr>
      </w:pPr>
    </w:p>
    <w:p w14:paraId="283F0E94">
      <w:pPr>
        <w:jc w:val="left"/>
        <w:rPr>
          <w:rFonts w:hint="default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3.先完成“开票信息”的信息填写，填写完成后点击“生成子账号”。</w:t>
      </w:r>
    </w:p>
    <w:p w14:paraId="19FD9518">
      <w:r>
        <w:drawing>
          <wp:inline distT="0" distB="0" distL="114300" distR="114300">
            <wp:extent cx="5400040" cy="2945765"/>
            <wp:effectExtent l="0" t="0" r="10160" b="63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FB17">
      <w:pPr>
        <w:numPr>
          <w:ilvl w:val="0"/>
          <w:numId w:val="0"/>
        </w:numPr>
        <w:ind w:left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Times New Roman" w:eastAsia="宋体"/>
          <w:lang w:val="en-US" w:eastAsia="zh-CN"/>
        </w:rPr>
        <w:t>子账号转账须时：转账信息中的户名、开户行、子账号需准确对应，任一信息不符，转账资金会自动原路退回。</w:t>
      </w:r>
      <w:r>
        <w:drawing>
          <wp:inline distT="0" distB="0" distL="114300" distR="114300">
            <wp:extent cx="5400040" cy="2821305"/>
            <wp:effectExtent l="0" t="0" r="10160" b="1079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74F0">
      <w:pPr>
        <w:numPr>
          <w:ilvl w:val="0"/>
          <w:numId w:val="0"/>
        </w:numPr>
        <w:ind w:left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Times New Roman" w:eastAsia="宋体"/>
          <w:lang w:val="en-US" w:eastAsia="zh-CN"/>
        </w:rPr>
        <w:t>点击到账查询，确认缴费成功即可。注意：付款人账号和诚信库基本户账号不符时，请到基本信息页面更新银行卡号为付款人账号。</w:t>
      </w:r>
      <w:r>
        <w:drawing>
          <wp:inline distT="0" distB="0" distL="114300" distR="114300">
            <wp:extent cx="5400040" cy="2929255"/>
            <wp:effectExtent l="0" t="0" r="1016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E44D6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561590"/>
            <wp:effectExtent l="0" t="0" r="1016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B9B4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6.查询到账成功后，点击右上角“确认提交”，完成缴费操作</w:t>
      </w:r>
    </w:p>
    <w:p w14:paraId="55282ED7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842260"/>
            <wp:effectExtent l="0" t="0" r="10160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3A9F2">
      <w:pPr>
        <w:keepNext/>
        <w:keepLines/>
        <w:widowControl w:val="0"/>
        <w:numPr>
          <w:ilvl w:val="0"/>
          <w:numId w:val="0"/>
        </w:numPr>
        <w:adjustRightInd w:val="0"/>
        <w:spacing w:before="120" w:after="120" w:line="360" w:lineRule="auto"/>
        <w:jc w:val="both"/>
        <w:outlineLvl w:val="1"/>
        <w:rPr>
          <w:rFonts w:hint="default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8" w:name="_Toc31371"/>
      <w:r>
        <w:rPr>
          <w:rFonts w:hint="eastAsia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4.框架协议二阶段交易服务费</w:t>
      </w:r>
      <w:bookmarkEnd w:id="8"/>
    </w:p>
    <w:p w14:paraId="3E9BA300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框架协议二阶段项目投标单位已经中标</w:t>
      </w:r>
    </w:p>
    <w:p w14:paraId="45E4DCEC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中标单位缴纳交易服务费</w:t>
      </w:r>
    </w:p>
    <w:p w14:paraId="44DDC256">
      <w:pP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5AC520F7">
      <w:pPr>
        <w:numPr>
          <w:ilvl w:val="0"/>
          <w:numId w:val="0"/>
        </w:numPr>
        <w:ind w:firstLine="420" w:firstLineChars="200"/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1.登录系统，左侧点击“简易采购”模块，找到对应项目，进入项目流程</w:t>
      </w:r>
    </w:p>
    <w:p w14:paraId="5862B0B0">
      <w:r>
        <w:drawing>
          <wp:inline distT="0" distB="0" distL="114300" distR="114300">
            <wp:extent cx="5400040" cy="2435225"/>
            <wp:effectExtent l="0" t="0" r="10160" b="317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11D0">
      <w:pPr>
        <w:numPr>
          <w:ilvl w:val="0"/>
          <w:numId w:val="3"/>
        </w:num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点击交易服务费缴纳，进入交易服务缴纳页面。</w:t>
      </w:r>
    </w:p>
    <w:p w14:paraId="4C96B38B">
      <w:r>
        <w:drawing>
          <wp:inline distT="0" distB="0" distL="114300" distR="114300">
            <wp:extent cx="5400040" cy="1951990"/>
            <wp:effectExtent l="0" t="0" r="10160" b="381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AFA9">
      <w:pPr>
        <w:rPr>
          <w:rFonts w:hint="eastAsia" w:eastAsia="宋体"/>
          <w:lang w:eastAsia="zh-CN"/>
        </w:rPr>
      </w:pPr>
    </w:p>
    <w:p w14:paraId="2040DEFF">
      <w:pPr>
        <w:jc w:val="left"/>
        <w:rPr>
          <w:rFonts w:hint="default" w:eastAsia="宋体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3.先完成“开票信息”的信息填写，填写完成后点击“生成子账号”。</w:t>
      </w:r>
    </w:p>
    <w:p w14:paraId="1D8FF41D">
      <w:r>
        <w:drawing>
          <wp:inline distT="0" distB="0" distL="114300" distR="114300">
            <wp:extent cx="5400040" cy="2945765"/>
            <wp:effectExtent l="0" t="0" r="10160" b="6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0B62">
      <w:pPr>
        <w:numPr>
          <w:ilvl w:val="0"/>
          <w:numId w:val="0"/>
        </w:numPr>
        <w:ind w:left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Times New Roman" w:eastAsia="宋体"/>
          <w:lang w:val="en-US" w:eastAsia="zh-CN"/>
        </w:rPr>
        <w:t>子账号转账须时：转账信息中的户名、开户行、子账号需准确对应，任一信息不符，转账资金会自动原路退回。</w:t>
      </w:r>
      <w:r>
        <w:drawing>
          <wp:inline distT="0" distB="0" distL="114300" distR="114300">
            <wp:extent cx="5400040" cy="2821305"/>
            <wp:effectExtent l="0" t="0" r="10160" b="1079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4E379">
      <w:pPr>
        <w:numPr>
          <w:ilvl w:val="0"/>
          <w:numId w:val="0"/>
        </w:numPr>
        <w:ind w:left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Times New Roman" w:eastAsia="宋体"/>
          <w:lang w:val="en-US" w:eastAsia="zh-CN"/>
        </w:rPr>
        <w:t>点击到账查询，确认缴费成功即可。注意：付款人账号和诚信库基本户账号不符时，请到基本信息页面更新银行卡号为付款人账号。</w:t>
      </w:r>
      <w:r>
        <w:drawing>
          <wp:inline distT="0" distB="0" distL="114300" distR="114300">
            <wp:extent cx="5400040" cy="2929255"/>
            <wp:effectExtent l="0" t="0" r="1016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10DC3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561590"/>
            <wp:effectExtent l="0" t="0" r="1016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A349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 w:ascii="Times New Roman" w:eastAsia="宋体"/>
          <w:lang w:val="en-US" w:eastAsia="zh-CN"/>
        </w:rPr>
        <w:t>6.查询到账成功后，点击右上角“确认提交”，完成缴费操作</w:t>
      </w:r>
    </w:p>
    <w:p w14:paraId="40E910CA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842260"/>
            <wp:effectExtent l="0" t="0" r="10160" b="254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1709">
      <w:pPr>
        <w:numPr>
          <w:ilvl w:val="0"/>
          <w:numId w:val="0"/>
        </w:numPr>
        <w:ind w:leftChars="200"/>
      </w:pPr>
    </w:p>
    <w:p w14:paraId="38DD49C5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7B9A5A25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sectPr>
      <w:footerReference r:id="rId12" w:type="first"/>
      <w:footerReference r:id="rId11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307BE">
    <w:pPr>
      <w:pStyle w:val="8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EF17F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130D9"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371930">
                          <w:pPr>
                            <w:pStyle w:val="8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371930">
                    <w:pPr>
                      <w:pStyle w:val="8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3481CB">
    <w:pPr>
      <w:pStyle w:val="8"/>
      <w:pBdr>
        <w:top w:val="thinThickSmallGap" w:color="823B0B" w:themeColor="accent2" w:themeShade="7F" w:sz="24" w:space="1"/>
      </w:pBdr>
      <w:ind w:firstLine="360"/>
      <w:rPr>
        <w:rFonts w:hint="default" w:asciiTheme="majorHAnsi" w:hAnsiTheme="majorHAnsi" w:eastAsiaTheme="majorEastAsia" w:cstheme="majorBidi"/>
        <w:lang w:val="en-US" w:eastAsia="zh-CN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hint="eastAsia" w:asciiTheme="majorHAnsi" w:hAnsiTheme="majorHAnsi" w:eastAsiaTheme="majorEastAsia" w:cstheme="majorBidi"/>
        <w:lang w:val="en-US" w:eastAsia="zh-CN"/>
      </w:rPr>
      <w:t>26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2F087">
    <w:pPr>
      <w:pStyle w:val="8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84D56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思源宋体 CN ExtraLight"/>
        <w:sz w:val="18"/>
        <w:szCs w:val="18"/>
        <w:lang w:val="en-US" w:eastAsia="zh-CN"/>
      </w:rPr>
      <w:t>义乌市阳光招标采购平台投保人</w:t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0A034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18CDB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10225C"/>
    <w:multiLevelType w:val="singleLevel"/>
    <w:tmpl w:val="C310225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iNGU4NDA1ZjNkZGVjZDJkYzQzOTIzNTI0YzBhMTk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AF6553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4B50133"/>
    <w:rsid w:val="09376BA6"/>
    <w:rsid w:val="097B1A21"/>
    <w:rsid w:val="0A9817AB"/>
    <w:rsid w:val="0AC367C3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852FC6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7651A9"/>
    <w:rsid w:val="23A50BD2"/>
    <w:rsid w:val="24C703BC"/>
    <w:rsid w:val="25440E46"/>
    <w:rsid w:val="278A2A76"/>
    <w:rsid w:val="27D860D8"/>
    <w:rsid w:val="284269A9"/>
    <w:rsid w:val="29AA42E8"/>
    <w:rsid w:val="2BAF7959"/>
    <w:rsid w:val="2C2C443C"/>
    <w:rsid w:val="2EEA14D1"/>
    <w:rsid w:val="30665DF3"/>
    <w:rsid w:val="3095741A"/>
    <w:rsid w:val="30E276F9"/>
    <w:rsid w:val="34CA209A"/>
    <w:rsid w:val="35915CE7"/>
    <w:rsid w:val="37F54C14"/>
    <w:rsid w:val="387378DE"/>
    <w:rsid w:val="38933D9D"/>
    <w:rsid w:val="38EF47A9"/>
    <w:rsid w:val="3A7E74F3"/>
    <w:rsid w:val="3BE17220"/>
    <w:rsid w:val="3CD414BD"/>
    <w:rsid w:val="3D927A08"/>
    <w:rsid w:val="3DFE3234"/>
    <w:rsid w:val="3E9A4BFE"/>
    <w:rsid w:val="40EC62DB"/>
    <w:rsid w:val="455015C9"/>
    <w:rsid w:val="45711F4C"/>
    <w:rsid w:val="466C4816"/>
    <w:rsid w:val="47932DF9"/>
    <w:rsid w:val="47EE67D9"/>
    <w:rsid w:val="4A4F5B0A"/>
    <w:rsid w:val="4B565EB8"/>
    <w:rsid w:val="4BF62663"/>
    <w:rsid w:val="4C316320"/>
    <w:rsid w:val="4E3026EF"/>
    <w:rsid w:val="4EBA47E3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5963A06"/>
    <w:rsid w:val="66CA143D"/>
    <w:rsid w:val="675E2EEB"/>
    <w:rsid w:val="67E1206E"/>
    <w:rsid w:val="69BC6B4D"/>
    <w:rsid w:val="6C6973EC"/>
    <w:rsid w:val="6C7C3440"/>
    <w:rsid w:val="6CBA6598"/>
    <w:rsid w:val="6D535020"/>
    <w:rsid w:val="70EE51FE"/>
    <w:rsid w:val="72BC3A18"/>
    <w:rsid w:val="7347712D"/>
    <w:rsid w:val="74AD51F9"/>
    <w:rsid w:val="75833EA9"/>
    <w:rsid w:val="769928BD"/>
    <w:rsid w:val="779F3CE1"/>
    <w:rsid w:val="77FE788A"/>
    <w:rsid w:val="782219C2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9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7">
    <w:name w:val="Balloon Text"/>
    <w:basedOn w:val="1"/>
    <w:link w:val="36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4">
    <w:name w:val="Table Grid"/>
    <w:basedOn w:val="13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FollowedHyperlink"/>
    <w:basedOn w:val="15"/>
    <w:qFormat/>
    <w:uiPriority w:val="0"/>
    <w:rPr>
      <w:color w:val="800080"/>
      <w:u w:val="none"/>
    </w:rPr>
  </w:style>
  <w:style w:type="character" w:styleId="18">
    <w:name w:val="Emphasis"/>
    <w:basedOn w:val="15"/>
    <w:qFormat/>
    <w:uiPriority w:val="0"/>
    <w:rPr>
      <w:b/>
    </w:rPr>
  </w:style>
  <w:style w:type="character" w:styleId="19">
    <w:name w:val="HTML Definition"/>
    <w:basedOn w:val="15"/>
    <w:qFormat/>
    <w:uiPriority w:val="0"/>
  </w:style>
  <w:style w:type="character" w:styleId="20">
    <w:name w:val="HTML Typewriter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Acronym"/>
    <w:basedOn w:val="15"/>
    <w:qFormat/>
    <w:uiPriority w:val="0"/>
  </w:style>
  <w:style w:type="character" w:styleId="22">
    <w:name w:val="HTML Variable"/>
    <w:basedOn w:val="15"/>
    <w:qFormat/>
    <w:uiPriority w:val="0"/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HTML Code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Cite"/>
    <w:basedOn w:val="15"/>
    <w:qFormat/>
    <w:uiPriority w:val="0"/>
  </w:style>
  <w:style w:type="character" w:styleId="26">
    <w:name w:val="HTML Keyboard"/>
    <w:basedOn w:val="15"/>
    <w:qFormat/>
    <w:uiPriority w:val="0"/>
    <w:rPr>
      <w:rFonts w:ascii="monospace" w:hAnsi="monospace" w:eastAsia="monospace" w:cs="monospace"/>
      <w:sz w:val="20"/>
    </w:rPr>
  </w:style>
  <w:style w:type="character" w:styleId="27">
    <w:name w:val="HTML Sample"/>
    <w:basedOn w:val="15"/>
    <w:qFormat/>
    <w:uiPriority w:val="0"/>
    <w:rPr>
      <w:rFonts w:hint="default" w:ascii="monospace" w:hAnsi="monospace" w:eastAsia="monospace" w:cs="monospace"/>
    </w:rPr>
  </w:style>
  <w:style w:type="paragraph" w:customStyle="1" w:styleId="28">
    <w:name w:val="1"/>
    <w:basedOn w:val="1"/>
    <w:qFormat/>
    <w:uiPriority w:val="0"/>
    <w:pPr>
      <w:ind w:firstLine="0" w:firstLineChars="0"/>
    </w:pPr>
  </w:style>
  <w:style w:type="paragraph" w:customStyle="1" w:styleId="2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3">
    <w:name w:val="text1"/>
    <w:basedOn w:val="15"/>
    <w:qFormat/>
    <w:uiPriority w:val="0"/>
    <w:rPr>
      <w:color w:val="728DD3"/>
    </w:rPr>
  </w:style>
  <w:style w:type="paragraph" w:customStyle="1" w:styleId="3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6">
    <w:name w:val="批注框文本 字符"/>
    <w:basedOn w:val="15"/>
    <w:link w:val="7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8">
    <w:name w:val="List Paragraph"/>
    <w:basedOn w:val="1"/>
    <w:unhideWhenUsed/>
    <w:qFormat/>
    <w:uiPriority w:val="99"/>
  </w:style>
  <w:style w:type="character" w:customStyle="1" w:styleId="39">
    <w:name w:val="标题 3 字符"/>
    <w:basedOn w:val="15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40">
    <w:name w:val="页脚 字符"/>
    <w:basedOn w:val="15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1">
    <w:name w:val="页眉 字符"/>
    <w:basedOn w:val="15"/>
    <w:link w:val="9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13</Pages>
  <Words>944</Words>
  <Characters>965</Characters>
  <Lines>42</Lines>
  <Paragraphs>12</Paragraphs>
  <TotalTime>0</TotalTime>
  <ScaleCrop>false</ScaleCrop>
  <LinksUpToDate>false</LinksUpToDate>
  <CharactersWithSpaces>968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15659</cp:lastModifiedBy>
  <dcterms:modified xsi:type="dcterms:W3CDTF">2026-06-26T05:13:03Z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513C53FF1EE04628A6708E689ED14873_13</vt:lpwstr>
  </property>
  <property fmtid="{D5CDD505-2E9C-101B-9397-08002B2CF9AE}" pid="4" name="KSOTemplateDocerSaveRecord">
    <vt:lpwstr>eyJoZGlkIjoiOTM1MDBhOWVlNTVhYzJkZWZmMTBlMTg1ZTE2YWY0MDkiLCJ1c2VySWQiOiI4MjQ0MDQ1MjYifQ==</vt:lpwstr>
  </property>
</Properties>
</file>